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F" w:rsidRDefault="001C451F" w:rsidP="001C451F">
      <w:pPr>
        <w:spacing w:line="720" w:lineRule="auto"/>
        <w:jc w:val="center"/>
        <w:rPr>
          <w:b/>
          <w:sz w:val="44"/>
          <w:szCs w:val="44"/>
        </w:rPr>
      </w:pPr>
      <w:r>
        <w:rPr>
          <w:rFonts w:ascii="Times" w:eastAsia="黑体"/>
          <w:b/>
          <w:sz w:val="44"/>
          <w:szCs w:val="44"/>
        </w:rPr>
        <w:t>温州大学学术型硕士研究生培养方案</w:t>
      </w:r>
    </w:p>
    <w:p w:rsidR="001C451F" w:rsidRDefault="001C451F" w:rsidP="001C451F">
      <w:pPr>
        <w:spacing w:line="720" w:lineRule="auto"/>
        <w:ind w:leftChars="-172" w:left="-361"/>
        <w:jc w:val="center"/>
        <w:rPr>
          <w:b/>
          <w:sz w:val="30"/>
          <w:szCs w:val="36"/>
        </w:rPr>
      </w:pPr>
      <w:r>
        <w:rPr>
          <w:rFonts w:hint="eastAsia"/>
          <w:b/>
          <w:sz w:val="30"/>
          <w:szCs w:val="30"/>
          <w:u w:val="single"/>
        </w:rPr>
        <w:t>化学与材料工程</w:t>
      </w:r>
      <w:r>
        <w:rPr>
          <w:rFonts w:hint="eastAsia"/>
          <w:b/>
          <w:sz w:val="30"/>
          <w:szCs w:val="30"/>
        </w:rPr>
        <w:t>学院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  <w:u w:val="single"/>
        </w:rPr>
        <w:t>应用化学</w:t>
      </w:r>
      <w:r>
        <w:rPr>
          <w:rFonts w:hint="eastAsia"/>
          <w:b/>
          <w:sz w:val="30"/>
          <w:szCs w:val="36"/>
        </w:rPr>
        <w:t>学科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ascii="宋体" w:hAnsi="宋体" w:hint="eastAsia"/>
          <w:b/>
          <w:sz w:val="30"/>
          <w:szCs w:val="30"/>
          <w:u w:val="single"/>
        </w:rPr>
        <w:t>081704</w:t>
      </w:r>
      <w:r>
        <w:rPr>
          <w:rFonts w:hint="eastAsia"/>
          <w:b/>
          <w:sz w:val="30"/>
          <w:szCs w:val="36"/>
        </w:rPr>
        <w:t>（代码）</w:t>
      </w:r>
    </w:p>
    <w:p w:rsidR="001C451F" w:rsidRDefault="001C451F" w:rsidP="00EA66B5">
      <w:pPr>
        <w:spacing w:beforeLines="100" w:afterLines="100"/>
        <w:jc w:val="center"/>
        <w:rPr>
          <w:b/>
          <w:sz w:val="30"/>
          <w:szCs w:val="44"/>
        </w:rPr>
      </w:pPr>
      <w:r>
        <w:rPr>
          <w:rFonts w:hint="eastAsia"/>
          <w:b/>
          <w:sz w:val="30"/>
          <w:szCs w:val="36"/>
        </w:rPr>
        <w:t>一级学科：</w:t>
      </w:r>
      <w:r>
        <w:rPr>
          <w:b/>
          <w:sz w:val="30"/>
          <w:szCs w:val="36"/>
        </w:rPr>
        <w:t>化学工程与技术</w:t>
      </w:r>
    </w:p>
    <w:p w:rsidR="001C451F" w:rsidRDefault="001C451F" w:rsidP="001C451F">
      <w:pPr>
        <w:ind w:left="54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 xml:space="preserve">一、培养目标 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掌握马克思主义基本理论，坚持党的基本路线，热爱祖国；遵纪守法，具有良好的道德修养和敬业精神，积极为社会主义现代化建设服务。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掌握应用化学、精细化工及相关学科专业的</w:t>
      </w:r>
      <w:r>
        <w:rPr>
          <w:rFonts w:eastAsia="仿宋_GB2312" w:hint="eastAsia"/>
          <w:kern w:val="0"/>
          <w:sz w:val="28"/>
          <w:szCs w:val="28"/>
        </w:rPr>
        <w:t>坚实宽广的基础理论和系统的专门知识，了解学科的进展、动向和发展前沿；具有创新能力、实践能力和创业精神，具有较强的从事科学研究、高校教学或独立担负专门技术工作的能力。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掌握一门外国语，能熟练地阅读本专业的外文资料，具有论文摘要写作能力和进行国际学术交流的语言能力；能熟练地使用计算机，具有较强的运用网络信息技术的能力。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sz w:val="24"/>
        </w:rPr>
      </w:pPr>
      <w:r>
        <w:rPr>
          <w:rFonts w:eastAsia="仿宋_GB2312"/>
          <w:kern w:val="0"/>
          <w:sz w:val="28"/>
          <w:szCs w:val="28"/>
        </w:rPr>
        <w:t>具有较高的科学素养，健康的身心和积极向上的人生态度。知识结构合理，适应能力强。毕业后能胜任高等院校、科研机构和工厂企业的应用化学和精细化工的教学、科研、应用开发及工业生产中的技术工作及管理工作，或继续攻读学位。</w:t>
      </w:r>
    </w:p>
    <w:p w:rsidR="001C451F" w:rsidRDefault="001C451F" w:rsidP="00EA66B5">
      <w:pPr>
        <w:adjustRightInd w:val="0"/>
        <w:snapToGrid w:val="0"/>
        <w:spacing w:beforeLines="50"/>
        <w:ind w:left="539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二、研究方向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1</w:t>
      </w:r>
      <w:r>
        <w:rPr>
          <w:rFonts w:eastAsia="仿宋_GB2312" w:hint="eastAsia"/>
          <w:kern w:val="0"/>
          <w:sz w:val="28"/>
          <w:szCs w:val="28"/>
        </w:rPr>
        <w:t>、应用高分子制备、加工及资源化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2</w:t>
      </w:r>
      <w:r>
        <w:rPr>
          <w:rFonts w:eastAsia="仿宋_GB2312" w:hint="eastAsia"/>
          <w:kern w:val="0"/>
          <w:sz w:val="28"/>
          <w:szCs w:val="28"/>
        </w:rPr>
        <w:t>、精细化学品合成与应用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3</w:t>
      </w:r>
      <w:r>
        <w:rPr>
          <w:rFonts w:eastAsia="仿宋_GB2312" w:hint="eastAsia"/>
          <w:kern w:val="0"/>
          <w:sz w:val="28"/>
          <w:szCs w:val="28"/>
        </w:rPr>
        <w:t>、新型材料合成与改性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4</w:t>
      </w:r>
      <w:r>
        <w:rPr>
          <w:rFonts w:eastAsia="仿宋_GB2312" w:hint="eastAsia"/>
          <w:kern w:val="0"/>
          <w:sz w:val="28"/>
          <w:szCs w:val="28"/>
        </w:rPr>
        <w:t>、工业化学技术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5</w:t>
      </w:r>
      <w:r>
        <w:rPr>
          <w:rFonts w:eastAsia="仿宋_GB2312" w:hint="eastAsia"/>
          <w:kern w:val="0"/>
          <w:sz w:val="28"/>
          <w:szCs w:val="28"/>
        </w:rPr>
        <w:t>、工业分析技术与应用</w:t>
      </w:r>
    </w:p>
    <w:p w:rsidR="001C451F" w:rsidRDefault="001C451F" w:rsidP="00EA66B5">
      <w:pPr>
        <w:adjustRightInd w:val="0"/>
        <w:snapToGrid w:val="0"/>
        <w:spacing w:beforeLines="50"/>
        <w:ind w:left="539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三、学制</w:t>
      </w:r>
    </w:p>
    <w:p w:rsidR="001C451F" w:rsidRDefault="001C451F" w:rsidP="001C451F">
      <w:pPr>
        <w:adjustRightInd w:val="0"/>
        <w:snapToGrid w:val="0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lastRenderedPageBreak/>
        <w:t>攻读硕士学位研究生学习年限一般为三年；硕士生应在规定的学习期限内完成培养计划要求的课程和学位论文，修满学分，按期毕业。若提前完成培养计划的硕士生，并以第一作者身份（导师第一作者时</w:t>
      </w:r>
      <w:r>
        <w:rPr>
          <w:rFonts w:eastAsia="仿宋_GB2312" w:hint="eastAsia"/>
          <w:kern w:val="0"/>
          <w:sz w:val="28"/>
          <w:szCs w:val="28"/>
        </w:rPr>
        <w:t>,</w:t>
      </w:r>
      <w:r>
        <w:rPr>
          <w:rFonts w:eastAsia="仿宋_GB2312" w:hint="eastAsia"/>
          <w:kern w:val="0"/>
          <w:sz w:val="28"/>
          <w:szCs w:val="28"/>
        </w:rPr>
        <w:t>研究生必须为第二作者</w:t>
      </w:r>
      <w:r>
        <w:rPr>
          <w:rFonts w:eastAsia="仿宋_GB2312" w:hint="eastAsia"/>
          <w:kern w:val="0"/>
          <w:sz w:val="28"/>
          <w:szCs w:val="28"/>
        </w:rPr>
        <w:t xml:space="preserve">, </w:t>
      </w:r>
      <w:r>
        <w:rPr>
          <w:rFonts w:eastAsia="仿宋_GB2312" w:hint="eastAsia"/>
          <w:kern w:val="0"/>
          <w:sz w:val="28"/>
          <w:szCs w:val="28"/>
        </w:rPr>
        <w:t>均以录用为准）在一级学术刊物上发表</w:t>
      </w:r>
      <w:r>
        <w:rPr>
          <w:rFonts w:eastAsia="仿宋_GB2312" w:hint="eastAsia"/>
          <w:kern w:val="0"/>
          <w:sz w:val="28"/>
          <w:szCs w:val="28"/>
        </w:rPr>
        <w:t>2</w:t>
      </w:r>
      <w:r>
        <w:rPr>
          <w:rFonts w:eastAsia="仿宋_GB2312" w:hint="eastAsia"/>
          <w:kern w:val="0"/>
          <w:sz w:val="28"/>
          <w:szCs w:val="28"/>
        </w:rPr>
        <w:t>篇以上论文，可申请提前毕业。科学研究、撰写论文的时间必须保证在一年以上。</w:t>
      </w:r>
    </w:p>
    <w:p w:rsidR="001C451F" w:rsidRDefault="001C451F" w:rsidP="001C451F">
      <w:pPr>
        <w:ind w:left="54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四、课程设置表（包括学术研讨课等）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6"/>
        <w:gridCol w:w="471"/>
        <w:gridCol w:w="1290"/>
        <w:gridCol w:w="3180"/>
        <w:gridCol w:w="629"/>
        <w:gridCol w:w="629"/>
        <w:gridCol w:w="942"/>
        <w:gridCol w:w="1647"/>
      </w:tblGrid>
      <w:tr w:rsidR="001C451F" w:rsidTr="003038A6">
        <w:trPr>
          <w:trHeight w:val="397"/>
          <w:tblHeader/>
          <w:jc w:val="center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ind w:leftChars="-25" w:left="-53" w:rightChars="-25" w:right="-53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课程类别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课程编码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课程名称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ind w:leftChars="-25" w:left="-53" w:rightChars="-25" w:right="-53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学时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ind w:leftChars="-25" w:left="-53" w:rightChars="-25" w:right="-53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学分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开课</w:t>
            </w:r>
          </w:p>
          <w:p w:rsidR="001C451F" w:rsidRDefault="001C451F" w:rsidP="003038A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学期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int="eastAsia"/>
                <w:bCs/>
                <w:szCs w:val="21"/>
              </w:rPr>
              <w:t>备注</w:t>
            </w: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位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公</w:t>
            </w:r>
          </w:p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共课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S99900014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Cs w:val="21"/>
              </w:rPr>
              <w:t>中国特色社会主义理论与实践研究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必修6学分</w:t>
            </w: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S99900021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英语Ⅰ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S99900022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英语Ⅱ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pacing w:val="-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Cs w:val="21"/>
              </w:rPr>
              <w:t>基础课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S00710014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化学资源与技术及其应用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必修14学分</w:t>
            </w: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专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业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S00720043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高分子化学与物理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S00720044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精细化工生产与工艺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S00720045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应用化学综合实验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S00720046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绿色化学原理与工艺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S00720052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新材料制备与应用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非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学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位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选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修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S99900016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自然辩证法概论 ☆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选修11学分，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其中跨文理专业或教职业技能提升训练课程至少2学分；带“☆”为必选课。</w:t>
            </w: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S99900010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中国传统文化（理工科）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S99900020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教师职业技能提升训练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结构分析方法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S00730105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高分子材料及改性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绿色皮革化学品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S00730106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现代制革技术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S00730119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制革污染防治与废弃物综合利用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S00730112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精细化学品剖析技术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S00730111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无机材料合成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无机功能材料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S00730108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晶体生长技术与应用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S00730117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纳米材料与技术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S00730107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化工实验设计与数据处理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S00730110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分离工程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S00730109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化工过程分析与开发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pStyle w:val="a5"/>
              <w:rPr>
                <w:rFonts w:hAnsi="仿宋_GB2312" w:cs="仿宋_GB2312"/>
                <w:szCs w:val="21"/>
              </w:rPr>
            </w:pPr>
            <w:r>
              <w:rPr>
                <w:rFonts w:hAnsi="仿宋_GB2312" w:cs="仿宋_GB2312" w:hint="eastAsia"/>
                <w:szCs w:val="21"/>
              </w:rPr>
              <w:t>补修课程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S00740002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物理化学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1或3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ind w:firstLineChars="300" w:firstLine="63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不计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学分</w:t>
            </w: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S00740005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化学专业英语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2或4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（根据导师意见确定）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必修</w:t>
            </w:r>
          </w:p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环节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学术活动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参加学术活动不少于10次，作公开学术报告不少于1次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1-3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共4学分</w:t>
            </w:r>
          </w:p>
        </w:tc>
      </w:tr>
      <w:tr w:rsidR="001C451F" w:rsidTr="003038A6">
        <w:trPr>
          <w:cantSplit/>
          <w:trHeight w:val="312"/>
          <w:jc w:val="center"/>
        </w:trPr>
        <w:tc>
          <w:tcPr>
            <w:tcW w:w="1037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实践环节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教学实践、工程实践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1-3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1C451F" w:rsidTr="003038A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jc w:val="center"/>
        </w:trPr>
        <w:tc>
          <w:tcPr>
            <w:tcW w:w="566" w:type="dxa"/>
            <w:vMerge w:val="restart"/>
            <w:vAlign w:val="center"/>
          </w:tcPr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说</w:t>
            </w:r>
          </w:p>
          <w:p w:rsidR="001C451F" w:rsidRDefault="001C451F" w:rsidP="003038A6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明</w:t>
            </w:r>
          </w:p>
        </w:tc>
        <w:tc>
          <w:tcPr>
            <w:tcW w:w="4941" w:type="dxa"/>
            <w:gridSpan w:val="3"/>
            <w:vMerge w:val="restart"/>
            <w:vAlign w:val="center"/>
          </w:tcPr>
          <w:p w:rsidR="001C451F" w:rsidRDefault="001C451F" w:rsidP="003038A6">
            <w:pPr>
              <w:ind w:left="210" w:hangingChars="100" w:hanging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1.学分定额为35学分，包括课程学分31</w:t>
            </w:r>
            <w:r w:rsidR="00EA66B5">
              <w:rPr>
                <w:rFonts w:ascii="仿宋_GB2312" w:eastAsia="仿宋_GB2312" w:hAnsi="仿宋_GB2312" w:cs="仿宋_GB2312" w:hint="eastAsia"/>
                <w:szCs w:val="21"/>
              </w:rPr>
              <w:t>学分，学术活动、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实践</w:t>
            </w:r>
            <w:r w:rsidR="00EA66B5">
              <w:rPr>
                <w:rFonts w:ascii="仿宋_GB2312" w:eastAsia="仿宋_GB2312" w:hAnsi="仿宋_GB2312" w:cs="仿宋_GB2312" w:hint="eastAsia"/>
                <w:szCs w:val="21"/>
              </w:rPr>
              <w:t>环节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各占2学分，学位论文不计学分。</w:t>
            </w:r>
          </w:p>
          <w:p w:rsidR="001C451F" w:rsidRDefault="001C451F" w:rsidP="003038A6">
            <w:pPr>
              <w:ind w:left="210" w:hangingChars="100" w:hanging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2.补修课程仅限跨学科、专业和同等学力录取的研究生。</w:t>
            </w:r>
          </w:p>
        </w:tc>
        <w:tc>
          <w:tcPr>
            <w:tcW w:w="629" w:type="dxa"/>
            <w:vMerge w:val="restart"/>
            <w:vAlign w:val="center"/>
          </w:tcPr>
          <w:p w:rsidR="001C451F" w:rsidRDefault="001C451F" w:rsidP="003038A6">
            <w:pPr>
              <w:ind w:leftChars="-20" w:left="-42" w:rightChars="-20" w:right="-42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学分</w:t>
            </w:r>
          </w:p>
          <w:p w:rsidR="001C451F" w:rsidRDefault="001C451F" w:rsidP="003038A6">
            <w:pPr>
              <w:ind w:leftChars="-20" w:left="-42" w:rightChars="-20" w:right="-42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分配</w:t>
            </w:r>
          </w:p>
        </w:tc>
        <w:tc>
          <w:tcPr>
            <w:tcW w:w="1571" w:type="dxa"/>
            <w:gridSpan w:val="2"/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   位   课</w:t>
            </w:r>
          </w:p>
        </w:tc>
        <w:tc>
          <w:tcPr>
            <w:tcW w:w="1647" w:type="dxa"/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 学分</w:t>
            </w:r>
          </w:p>
        </w:tc>
      </w:tr>
      <w:tr w:rsidR="001C451F" w:rsidTr="003038A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jc w:val="center"/>
        </w:trPr>
        <w:tc>
          <w:tcPr>
            <w:tcW w:w="566" w:type="dxa"/>
            <w:vMerge/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941" w:type="dxa"/>
            <w:gridSpan w:val="3"/>
            <w:vMerge/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29" w:type="dxa"/>
            <w:vMerge/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非  学 位 课</w:t>
            </w:r>
          </w:p>
        </w:tc>
        <w:tc>
          <w:tcPr>
            <w:tcW w:w="1647" w:type="dxa"/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11 学分</w:t>
            </w:r>
          </w:p>
        </w:tc>
      </w:tr>
      <w:tr w:rsidR="001C451F" w:rsidTr="003038A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jc w:val="center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941" w:type="dxa"/>
            <w:gridSpan w:val="3"/>
            <w:vMerge/>
            <w:tcBorders>
              <w:bottom w:val="single" w:sz="4" w:space="0" w:color="auto"/>
            </w:tcBorders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29" w:type="dxa"/>
            <w:vMerge/>
            <w:tcBorders>
              <w:bottom w:val="single" w:sz="4" w:space="0" w:color="auto"/>
            </w:tcBorders>
          </w:tcPr>
          <w:p w:rsidR="001C451F" w:rsidRDefault="001C451F" w:rsidP="003038A6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1" w:type="dxa"/>
            <w:gridSpan w:val="2"/>
            <w:tcBorders>
              <w:bottom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必  修 环 节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center"/>
          </w:tcPr>
          <w:p w:rsidR="001C451F" w:rsidRDefault="001C451F" w:rsidP="003038A6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 学分</w:t>
            </w:r>
          </w:p>
        </w:tc>
      </w:tr>
    </w:tbl>
    <w:p w:rsidR="001C451F" w:rsidRDefault="001C451F" w:rsidP="001C451F">
      <w:pPr>
        <w:ind w:leftChars="-514" w:left="-1079" w:firstLineChars="428" w:firstLine="899"/>
      </w:pPr>
    </w:p>
    <w:p w:rsidR="00610B4D" w:rsidRDefault="00610B4D"/>
    <w:sectPr w:rsidR="00610B4D" w:rsidSect="00796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2A5" w:rsidRDefault="00F532A5" w:rsidP="001C451F">
      <w:r>
        <w:separator/>
      </w:r>
    </w:p>
  </w:endnote>
  <w:endnote w:type="continuationSeparator" w:id="1">
    <w:p w:rsidR="00F532A5" w:rsidRDefault="00F532A5" w:rsidP="001C4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2A5" w:rsidRDefault="00F532A5" w:rsidP="001C451F">
      <w:r>
        <w:separator/>
      </w:r>
    </w:p>
  </w:footnote>
  <w:footnote w:type="continuationSeparator" w:id="1">
    <w:p w:rsidR="00F532A5" w:rsidRDefault="00F532A5" w:rsidP="001C45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451F"/>
    <w:rsid w:val="001C451F"/>
    <w:rsid w:val="004F4137"/>
    <w:rsid w:val="00610B4D"/>
    <w:rsid w:val="00796918"/>
    <w:rsid w:val="008F19B1"/>
    <w:rsid w:val="00D753E7"/>
    <w:rsid w:val="00EA66B5"/>
    <w:rsid w:val="00F5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4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45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45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451F"/>
    <w:rPr>
      <w:sz w:val="18"/>
      <w:szCs w:val="18"/>
    </w:rPr>
  </w:style>
  <w:style w:type="character" w:customStyle="1" w:styleId="Char1">
    <w:name w:val="正文文本 Char1"/>
    <w:basedOn w:val="a0"/>
    <w:link w:val="a5"/>
    <w:rsid w:val="001C451F"/>
    <w:rPr>
      <w:rFonts w:ascii="仿宋_GB2312" w:eastAsia="仿宋_GB2312"/>
      <w:szCs w:val="24"/>
    </w:rPr>
  </w:style>
  <w:style w:type="paragraph" w:styleId="a5">
    <w:name w:val="Body Text"/>
    <w:basedOn w:val="a"/>
    <w:link w:val="Char1"/>
    <w:rsid w:val="001C451F"/>
    <w:pPr>
      <w:spacing w:line="240" w:lineRule="exact"/>
      <w:jc w:val="center"/>
    </w:pPr>
    <w:rPr>
      <w:rFonts w:ascii="仿宋_GB2312" w:eastAsia="仿宋_GB2312" w:hAnsiTheme="minorHAnsi" w:cstheme="minorBidi"/>
    </w:rPr>
  </w:style>
  <w:style w:type="character" w:customStyle="1" w:styleId="Char2">
    <w:name w:val="正文文本 Char"/>
    <w:basedOn w:val="a0"/>
    <w:link w:val="a5"/>
    <w:uiPriority w:val="99"/>
    <w:semiHidden/>
    <w:rsid w:val="001C451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刘碧燕</dc:creator>
  <cp:keywords/>
  <dc:description/>
  <cp:lastModifiedBy>刘碧燕</cp:lastModifiedBy>
  <cp:revision>4</cp:revision>
  <dcterms:created xsi:type="dcterms:W3CDTF">2017-09-18T02:42:00Z</dcterms:created>
  <dcterms:modified xsi:type="dcterms:W3CDTF">2017-09-18T02:48:00Z</dcterms:modified>
</cp:coreProperties>
</file>