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51F" w:rsidRDefault="001C451F" w:rsidP="001C451F">
      <w:pPr>
        <w:ind w:leftChars="-514" w:left="-1079" w:firstLineChars="428" w:firstLine="899"/>
      </w:pPr>
    </w:p>
    <w:p w:rsidR="001C451F" w:rsidRDefault="001C451F" w:rsidP="001C451F">
      <w:pPr>
        <w:spacing w:line="720" w:lineRule="auto"/>
        <w:jc w:val="center"/>
        <w:rPr>
          <w:rFonts w:ascii="黑体" w:eastAsia="黑体"/>
          <w:b/>
          <w:sz w:val="44"/>
          <w:szCs w:val="44"/>
        </w:rPr>
      </w:pPr>
      <w:r>
        <w:rPr>
          <w:rFonts w:ascii="黑体" w:eastAsia="黑体" w:hint="eastAsia"/>
          <w:b/>
          <w:sz w:val="44"/>
          <w:szCs w:val="44"/>
        </w:rPr>
        <w:t>温州大学学术型硕士研究生培养方案</w:t>
      </w:r>
    </w:p>
    <w:p w:rsidR="001C451F" w:rsidRDefault="001C451F" w:rsidP="001C451F">
      <w:pPr>
        <w:spacing w:line="720" w:lineRule="auto"/>
        <w:jc w:val="center"/>
        <w:rPr>
          <w:rFonts w:ascii="宋体" w:hAnsi="宋体"/>
          <w:b/>
          <w:sz w:val="30"/>
          <w:szCs w:val="36"/>
        </w:rPr>
      </w:pPr>
      <w:r>
        <w:rPr>
          <w:rFonts w:ascii="宋体" w:hAnsi="宋体" w:hint="eastAsia"/>
          <w:b/>
          <w:sz w:val="30"/>
          <w:szCs w:val="30"/>
          <w:u w:val="single"/>
        </w:rPr>
        <w:t>化学与材料工程</w:t>
      </w:r>
      <w:r>
        <w:rPr>
          <w:rFonts w:ascii="宋体" w:hAnsi="宋体" w:hint="eastAsia"/>
          <w:b/>
          <w:sz w:val="30"/>
          <w:szCs w:val="30"/>
        </w:rPr>
        <w:t xml:space="preserve">学院  </w:t>
      </w:r>
      <w:r>
        <w:rPr>
          <w:rFonts w:ascii="宋体" w:hAnsi="宋体" w:hint="eastAsia"/>
          <w:b/>
          <w:sz w:val="30"/>
          <w:szCs w:val="30"/>
          <w:u w:val="single"/>
        </w:rPr>
        <w:t>课程与教学论</w:t>
      </w:r>
      <w:r>
        <w:rPr>
          <w:rFonts w:ascii="宋体" w:hAnsi="宋体" w:hint="eastAsia"/>
          <w:b/>
          <w:sz w:val="30"/>
          <w:szCs w:val="36"/>
        </w:rPr>
        <w:t>学科</w:t>
      </w:r>
      <w:r>
        <w:rPr>
          <w:rFonts w:ascii="宋体" w:hAnsi="宋体" w:hint="eastAsia"/>
          <w:b/>
          <w:sz w:val="30"/>
          <w:szCs w:val="30"/>
        </w:rPr>
        <w:t xml:space="preserve">  </w:t>
      </w:r>
      <w:r>
        <w:rPr>
          <w:rFonts w:ascii="宋体" w:hAnsi="宋体"/>
          <w:b/>
          <w:sz w:val="30"/>
          <w:szCs w:val="30"/>
          <w:u w:val="single"/>
        </w:rPr>
        <w:t>040102</w:t>
      </w:r>
      <w:r>
        <w:rPr>
          <w:rFonts w:ascii="宋体" w:hAnsi="宋体" w:hint="eastAsia"/>
          <w:b/>
          <w:sz w:val="30"/>
          <w:szCs w:val="30"/>
        </w:rPr>
        <w:t>（代码）</w:t>
      </w:r>
    </w:p>
    <w:p w:rsidR="001C451F" w:rsidRDefault="001C451F" w:rsidP="005F252A">
      <w:pPr>
        <w:spacing w:beforeLines="100" w:afterLines="100"/>
        <w:ind w:firstLineChars="997" w:firstLine="3003"/>
        <w:rPr>
          <w:b/>
          <w:sz w:val="30"/>
          <w:szCs w:val="36"/>
        </w:rPr>
      </w:pPr>
      <w:r>
        <w:rPr>
          <w:rFonts w:hint="eastAsia"/>
          <w:b/>
          <w:sz w:val="30"/>
          <w:szCs w:val="36"/>
        </w:rPr>
        <w:t>一级学科：教育学</w:t>
      </w:r>
    </w:p>
    <w:p w:rsidR="001C451F" w:rsidRDefault="001C451F" w:rsidP="001C451F">
      <w:pPr>
        <w:spacing w:line="420" w:lineRule="exact"/>
        <w:ind w:left="540"/>
        <w:rPr>
          <w:rFonts w:ascii="黑体" w:eastAsia="黑体"/>
          <w:b/>
          <w:sz w:val="28"/>
          <w:szCs w:val="28"/>
        </w:rPr>
      </w:pPr>
      <w:r>
        <w:rPr>
          <w:rFonts w:ascii="黑体" w:eastAsia="黑体" w:hint="eastAsia"/>
          <w:b/>
          <w:sz w:val="28"/>
          <w:szCs w:val="28"/>
        </w:rPr>
        <w:t xml:space="preserve">一、培养目标 </w:t>
      </w:r>
    </w:p>
    <w:p w:rsidR="001C451F" w:rsidRDefault="001C451F" w:rsidP="001C451F">
      <w:pPr>
        <w:spacing w:line="420" w:lineRule="exact"/>
        <w:ind w:firstLine="539"/>
        <w:rPr>
          <w:rFonts w:eastAsia="仿宋_GB2312"/>
          <w:kern w:val="0"/>
          <w:sz w:val="28"/>
          <w:szCs w:val="28"/>
        </w:rPr>
      </w:pPr>
      <w:r>
        <w:rPr>
          <w:rFonts w:eastAsia="仿宋_GB2312"/>
          <w:kern w:val="0"/>
          <w:sz w:val="28"/>
          <w:szCs w:val="28"/>
        </w:rPr>
        <w:t>培养具有扎实的现代教育理论基础和系统的化学课程与教学论专业知识，较强的科学研究能力，较高的外语水平，德智体全面发展的研究型、应用型的高层次人才。其基本要求如下：</w:t>
      </w:r>
    </w:p>
    <w:p w:rsidR="001C451F" w:rsidRDefault="001C451F" w:rsidP="001C451F">
      <w:pPr>
        <w:spacing w:line="420" w:lineRule="exact"/>
        <w:ind w:firstLine="539"/>
        <w:rPr>
          <w:rFonts w:eastAsia="仿宋_GB2312"/>
          <w:kern w:val="0"/>
          <w:sz w:val="28"/>
          <w:szCs w:val="28"/>
        </w:rPr>
      </w:pPr>
      <w:r>
        <w:rPr>
          <w:rFonts w:eastAsia="仿宋_GB2312"/>
          <w:kern w:val="0"/>
          <w:sz w:val="28"/>
          <w:szCs w:val="28"/>
        </w:rPr>
        <w:t xml:space="preserve">1 </w:t>
      </w:r>
      <w:r>
        <w:rPr>
          <w:rFonts w:eastAsia="仿宋_GB2312"/>
          <w:kern w:val="0"/>
          <w:sz w:val="28"/>
          <w:szCs w:val="28"/>
        </w:rPr>
        <w:t>．掌握马列主义、毛泽东思想、邓小平理论、</w:t>
      </w:r>
      <w:r>
        <w:rPr>
          <w:rFonts w:eastAsia="仿宋_GB2312"/>
          <w:kern w:val="0"/>
          <w:sz w:val="28"/>
          <w:szCs w:val="28"/>
        </w:rPr>
        <w:t>“</w:t>
      </w:r>
      <w:r>
        <w:rPr>
          <w:rFonts w:eastAsia="仿宋_GB2312"/>
          <w:kern w:val="0"/>
          <w:sz w:val="28"/>
          <w:szCs w:val="28"/>
        </w:rPr>
        <w:t>三个代表</w:t>
      </w:r>
      <w:r>
        <w:rPr>
          <w:rFonts w:eastAsia="仿宋_GB2312"/>
          <w:kern w:val="0"/>
          <w:sz w:val="28"/>
          <w:szCs w:val="28"/>
        </w:rPr>
        <w:t>”</w:t>
      </w:r>
      <w:r>
        <w:rPr>
          <w:rFonts w:eastAsia="仿宋_GB2312"/>
          <w:kern w:val="0"/>
          <w:sz w:val="28"/>
          <w:szCs w:val="28"/>
        </w:rPr>
        <w:t>重要思想和科学发展观；热爱祖国、遵纪守法，有良好的职业道德和敬业精神。</w:t>
      </w:r>
    </w:p>
    <w:p w:rsidR="001C451F" w:rsidRDefault="001C451F" w:rsidP="001C451F">
      <w:pPr>
        <w:spacing w:line="420" w:lineRule="exact"/>
        <w:ind w:firstLine="539"/>
        <w:rPr>
          <w:rFonts w:eastAsia="仿宋_GB2312"/>
          <w:kern w:val="0"/>
          <w:sz w:val="28"/>
          <w:szCs w:val="28"/>
        </w:rPr>
      </w:pPr>
      <w:r>
        <w:rPr>
          <w:rFonts w:eastAsia="仿宋_GB2312"/>
          <w:kern w:val="0"/>
          <w:sz w:val="28"/>
          <w:szCs w:val="28"/>
        </w:rPr>
        <w:t xml:space="preserve">2 </w:t>
      </w:r>
      <w:r>
        <w:rPr>
          <w:rFonts w:eastAsia="仿宋_GB2312"/>
          <w:kern w:val="0"/>
          <w:sz w:val="28"/>
          <w:szCs w:val="28"/>
        </w:rPr>
        <w:t>．掌握系统的现代教育理论基础知识和本学科领域的基础知识、专门知识；熟悉本学科国内外研究与实践的历史、现状及改革发展趋势。</w:t>
      </w:r>
    </w:p>
    <w:p w:rsidR="001C451F" w:rsidRDefault="001C451F" w:rsidP="001C451F">
      <w:pPr>
        <w:spacing w:line="420" w:lineRule="exact"/>
        <w:ind w:firstLine="539"/>
        <w:rPr>
          <w:rFonts w:eastAsia="仿宋_GB2312"/>
          <w:kern w:val="0"/>
          <w:sz w:val="28"/>
          <w:szCs w:val="28"/>
        </w:rPr>
      </w:pPr>
      <w:r>
        <w:rPr>
          <w:rFonts w:eastAsia="仿宋_GB2312"/>
          <w:kern w:val="0"/>
          <w:sz w:val="28"/>
          <w:szCs w:val="28"/>
        </w:rPr>
        <w:t xml:space="preserve">3 </w:t>
      </w:r>
      <w:r>
        <w:rPr>
          <w:rFonts w:eastAsia="仿宋_GB2312"/>
          <w:kern w:val="0"/>
          <w:sz w:val="28"/>
          <w:szCs w:val="28"/>
        </w:rPr>
        <w:t>．掌握一门外国语，能熟练地阅读本专业的外文资料，具有论文写作能力和进行国际学术交流的语言能力；具有较强地运用网络信息技术的能力。</w:t>
      </w:r>
    </w:p>
    <w:p w:rsidR="001C451F" w:rsidRDefault="001C451F" w:rsidP="001C451F">
      <w:pPr>
        <w:spacing w:line="420" w:lineRule="exact"/>
        <w:ind w:firstLine="539"/>
        <w:rPr>
          <w:rFonts w:eastAsia="仿宋_GB2312"/>
          <w:kern w:val="0"/>
          <w:sz w:val="28"/>
          <w:szCs w:val="28"/>
        </w:rPr>
      </w:pPr>
      <w:r>
        <w:rPr>
          <w:rFonts w:eastAsia="仿宋_GB2312"/>
          <w:kern w:val="0"/>
          <w:sz w:val="28"/>
          <w:szCs w:val="28"/>
        </w:rPr>
        <w:t xml:space="preserve">4 </w:t>
      </w:r>
      <w:r>
        <w:rPr>
          <w:rFonts w:eastAsia="仿宋_GB2312"/>
          <w:kern w:val="0"/>
          <w:sz w:val="28"/>
          <w:szCs w:val="28"/>
        </w:rPr>
        <w:t>．具有健康的体魄，良好的心理品德和积极向上的人生态度，能胜任化学教学工作并具有独立从事教育理论研究和中学化学教学研究的能力。</w:t>
      </w:r>
    </w:p>
    <w:p w:rsidR="001C451F" w:rsidRDefault="001C451F" w:rsidP="001C451F">
      <w:pPr>
        <w:spacing w:line="420" w:lineRule="exact"/>
        <w:ind w:left="540"/>
        <w:rPr>
          <w:rFonts w:ascii="黑体" w:eastAsia="黑体"/>
          <w:b/>
          <w:sz w:val="28"/>
          <w:szCs w:val="28"/>
        </w:rPr>
      </w:pPr>
      <w:r>
        <w:rPr>
          <w:rFonts w:ascii="黑体" w:eastAsia="黑体" w:hint="eastAsia"/>
          <w:b/>
          <w:sz w:val="28"/>
          <w:szCs w:val="28"/>
        </w:rPr>
        <w:t>二、研究方向</w:t>
      </w:r>
    </w:p>
    <w:p w:rsidR="001C451F" w:rsidRDefault="001C451F" w:rsidP="001C451F">
      <w:pPr>
        <w:spacing w:line="420" w:lineRule="exact"/>
        <w:ind w:firstLine="539"/>
        <w:rPr>
          <w:rFonts w:eastAsia="仿宋_GB2312"/>
          <w:kern w:val="0"/>
          <w:sz w:val="28"/>
          <w:szCs w:val="28"/>
        </w:rPr>
      </w:pPr>
      <w:r>
        <w:rPr>
          <w:rFonts w:eastAsia="仿宋_GB2312"/>
          <w:kern w:val="0"/>
          <w:sz w:val="28"/>
          <w:szCs w:val="28"/>
        </w:rPr>
        <w:t>化学教学论</w:t>
      </w:r>
    </w:p>
    <w:p w:rsidR="001C451F" w:rsidRDefault="001C451F" w:rsidP="001C451F">
      <w:pPr>
        <w:spacing w:line="420" w:lineRule="exact"/>
        <w:ind w:left="540"/>
        <w:rPr>
          <w:rFonts w:ascii="黑体" w:eastAsia="黑体"/>
          <w:b/>
          <w:sz w:val="28"/>
          <w:szCs w:val="28"/>
        </w:rPr>
      </w:pPr>
      <w:r>
        <w:rPr>
          <w:rFonts w:ascii="黑体" w:eastAsia="黑体" w:hint="eastAsia"/>
          <w:b/>
          <w:sz w:val="28"/>
          <w:szCs w:val="28"/>
        </w:rPr>
        <w:t>三、学制</w:t>
      </w:r>
    </w:p>
    <w:p w:rsidR="001C451F" w:rsidRDefault="001C451F" w:rsidP="001C451F">
      <w:pPr>
        <w:spacing w:line="420" w:lineRule="exact"/>
        <w:ind w:firstLine="539"/>
        <w:rPr>
          <w:rFonts w:eastAsia="仿宋_GB2312"/>
          <w:kern w:val="0"/>
          <w:sz w:val="28"/>
          <w:szCs w:val="28"/>
        </w:rPr>
      </w:pPr>
      <w:r>
        <w:rPr>
          <w:rFonts w:eastAsia="仿宋_GB2312"/>
          <w:kern w:val="0"/>
          <w:sz w:val="28"/>
          <w:szCs w:val="28"/>
        </w:rPr>
        <w:t>全日制攻读硕士学位研究生学习年限一般为三年；硕士生应在规定的学习期限内完成培养计划要求的课程和学位论文，修满学分，按期毕业。若提前完成培养计划的硕士生，并以第一作者身份（导师第一作者时</w:t>
      </w:r>
      <w:r>
        <w:rPr>
          <w:rFonts w:eastAsia="仿宋_GB2312"/>
          <w:kern w:val="0"/>
          <w:sz w:val="28"/>
          <w:szCs w:val="28"/>
        </w:rPr>
        <w:t>,</w:t>
      </w:r>
      <w:r>
        <w:rPr>
          <w:rFonts w:eastAsia="仿宋_GB2312"/>
          <w:kern w:val="0"/>
          <w:sz w:val="28"/>
          <w:szCs w:val="28"/>
        </w:rPr>
        <w:t>研究生必须为第二作者</w:t>
      </w:r>
      <w:r>
        <w:rPr>
          <w:rFonts w:eastAsia="仿宋_GB2312"/>
          <w:kern w:val="0"/>
          <w:sz w:val="28"/>
          <w:szCs w:val="28"/>
        </w:rPr>
        <w:t xml:space="preserve">, </w:t>
      </w:r>
      <w:r>
        <w:rPr>
          <w:rFonts w:eastAsia="仿宋_GB2312"/>
          <w:kern w:val="0"/>
          <w:sz w:val="28"/>
          <w:szCs w:val="28"/>
        </w:rPr>
        <w:t>均以录用为准）在一级学术刊物上发表</w:t>
      </w:r>
      <w:r>
        <w:rPr>
          <w:rFonts w:eastAsia="仿宋_GB2312"/>
          <w:kern w:val="0"/>
          <w:sz w:val="28"/>
          <w:szCs w:val="28"/>
        </w:rPr>
        <w:t>2</w:t>
      </w:r>
      <w:r>
        <w:rPr>
          <w:rFonts w:eastAsia="仿宋_GB2312"/>
          <w:kern w:val="0"/>
          <w:sz w:val="28"/>
          <w:szCs w:val="28"/>
        </w:rPr>
        <w:t>篇以上论文，可申请提前毕业。科学研究、撰写论文的时间必须保证在</w:t>
      </w:r>
      <w:r>
        <w:rPr>
          <w:rFonts w:eastAsia="仿宋_GB2312"/>
          <w:kern w:val="0"/>
          <w:sz w:val="28"/>
          <w:szCs w:val="28"/>
        </w:rPr>
        <w:t>l</w:t>
      </w:r>
      <w:r>
        <w:rPr>
          <w:rFonts w:eastAsia="仿宋_GB2312"/>
          <w:kern w:val="0"/>
          <w:sz w:val="28"/>
          <w:szCs w:val="28"/>
        </w:rPr>
        <w:t>年以上。</w:t>
      </w:r>
    </w:p>
    <w:p w:rsidR="001C451F" w:rsidRDefault="001C451F" w:rsidP="001C451F">
      <w:pPr>
        <w:tabs>
          <w:tab w:val="left" w:pos="480"/>
        </w:tabs>
        <w:ind w:firstLineChars="200" w:firstLine="562"/>
        <w:rPr>
          <w:rFonts w:ascii="黑体" w:eastAsia="黑体"/>
          <w:b/>
          <w:sz w:val="28"/>
          <w:szCs w:val="28"/>
        </w:rPr>
      </w:pPr>
      <w:r>
        <w:rPr>
          <w:rFonts w:ascii="黑体" w:eastAsia="黑体" w:hint="eastAsia"/>
          <w:b/>
          <w:sz w:val="28"/>
          <w:szCs w:val="28"/>
        </w:rPr>
        <w:lastRenderedPageBreak/>
        <w:t>四、课程设置表（包括学术研讨课等）</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575"/>
        <w:gridCol w:w="479"/>
        <w:gridCol w:w="1291"/>
        <w:gridCol w:w="3099"/>
        <w:gridCol w:w="639"/>
        <w:gridCol w:w="639"/>
        <w:gridCol w:w="958"/>
        <w:gridCol w:w="1674"/>
      </w:tblGrid>
      <w:tr w:rsidR="001C451F" w:rsidTr="003038A6">
        <w:trPr>
          <w:trHeight w:val="340"/>
          <w:tblHeader/>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ind w:leftChars="-20" w:left="-42" w:rightChars="-20" w:right="-42"/>
              <w:jc w:val="center"/>
              <w:rPr>
                <w:rFonts w:ascii="黑体" w:eastAsia="黑体" w:hAnsi="宋体"/>
                <w:szCs w:val="21"/>
              </w:rPr>
            </w:pPr>
            <w:r>
              <w:rPr>
                <w:rFonts w:ascii="黑体" w:eastAsia="黑体" w:hint="eastAsia"/>
                <w:bCs/>
                <w:szCs w:val="21"/>
              </w:rPr>
              <w:t>课程类别</w:t>
            </w: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黑体" w:eastAsia="黑体" w:hAnsi="宋体"/>
                <w:szCs w:val="21"/>
              </w:rPr>
            </w:pPr>
            <w:r>
              <w:rPr>
                <w:rFonts w:ascii="黑体" w:eastAsia="黑体" w:hint="eastAsia"/>
                <w:bCs/>
                <w:szCs w:val="21"/>
              </w:rPr>
              <w:t>课程编码</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黑体" w:eastAsia="黑体" w:hAnsi="宋体"/>
                <w:szCs w:val="21"/>
              </w:rPr>
            </w:pPr>
            <w:r>
              <w:rPr>
                <w:rFonts w:ascii="黑体" w:eastAsia="黑体" w:hint="eastAsia"/>
                <w:bCs/>
                <w:szCs w:val="21"/>
              </w:rPr>
              <w:t>课程名称</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黑体" w:eastAsia="黑体" w:hAnsi="宋体"/>
                <w:szCs w:val="21"/>
              </w:rPr>
            </w:pPr>
            <w:r>
              <w:rPr>
                <w:rFonts w:ascii="黑体" w:eastAsia="黑体" w:hint="eastAsia"/>
                <w:bCs/>
                <w:szCs w:val="21"/>
              </w:rPr>
              <w:t>学时</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黑体" w:eastAsia="黑体" w:hAnsi="宋体"/>
                <w:szCs w:val="21"/>
              </w:rPr>
            </w:pPr>
            <w:r>
              <w:rPr>
                <w:rFonts w:ascii="黑体" w:eastAsia="黑体" w:hint="eastAsia"/>
                <w:bCs/>
                <w:szCs w:val="21"/>
              </w:rPr>
              <w:t>学分</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黑体" w:eastAsia="黑体"/>
                <w:bCs/>
                <w:szCs w:val="21"/>
              </w:rPr>
            </w:pPr>
            <w:r>
              <w:rPr>
                <w:rFonts w:ascii="黑体" w:eastAsia="黑体" w:hint="eastAsia"/>
                <w:bCs/>
                <w:szCs w:val="21"/>
              </w:rPr>
              <w:t>开课</w:t>
            </w:r>
          </w:p>
          <w:p w:rsidR="001C451F" w:rsidRDefault="001C451F" w:rsidP="003038A6">
            <w:pPr>
              <w:spacing w:line="400" w:lineRule="exact"/>
              <w:jc w:val="center"/>
              <w:rPr>
                <w:rFonts w:ascii="黑体" w:eastAsia="黑体" w:hAnsi="宋体"/>
                <w:szCs w:val="21"/>
              </w:rPr>
            </w:pPr>
            <w:r>
              <w:rPr>
                <w:rFonts w:ascii="黑体" w:eastAsia="黑体" w:hint="eastAsia"/>
                <w:bCs/>
                <w:szCs w:val="21"/>
              </w:rPr>
              <w:t>学期</w:t>
            </w:r>
          </w:p>
        </w:tc>
        <w:tc>
          <w:tcPr>
            <w:tcW w:w="1674"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黑体" w:eastAsia="黑体" w:hAnsi="宋体"/>
                <w:szCs w:val="21"/>
              </w:rPr>
            </w:pPr>
            <w:r>
              <w:rPr>
                <w:rFonts w:ascii="黑体" w:eastAsia="黑体" w:hint="eastAsia"/>
                <w:bCs/>
                <w:szCs w:val="21"/>
              </w:rPr>
              <w:t>备注</w:t>
            </w:r>
          </w:p>
        </w:tc>
      </w:tr>
      <w:tr w:rsidR="001C451F" w:rsidTr="003038A6">
        <w:trPr>
          <w:trHeight w:val="340"/>
          <w:jc w:val="center"/>
        </w:trPr>
        <w:tc>
          <w:tcPr>
            <w:tcW w:w="575" w:type="dxa"/>
            <w:vMerge w:val="restart"/>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学</w:t>
            </w:r>
          </w:p>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位</w:t>
            </w:r>
          </w:p>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课</w:t>
            </w:r>
          </w:p>
        </w:tc>
        <w:tc>
          <w:tcPr>
            <w:tcW w:w="479" w:type="dxa"/>
            <w:vMerge w:val="restart"/>
            <w:tcBorders>
              <w:top w:val="single" w:sz="4" w:space="0" w:color="auto"/>
              <w:left w:val="single" w:sz="4" w:space="0" w:color="auto"/>
              <w:right w:val="single" w:sz="4" w:space="0" w:color="auto"/>
            </w:tcBorders>
            <w:vAlign w:val="center"/>
          </w:tcPr>
          <w:p w:rsidR="001C451F" w:rsidRDefault="001C451F" w:rsidP="003038A6">
            <w:pPr>
              <w:spacing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公</w:t>
            </w:r>
          </w:p>
          <w:p w:rsidR="001C451F" w:rsidRDefault="001C451F" w:rsidP="003038A6">
            <w:pPr>
              <w:spacing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共</w:t>
            </w:r>
          </w:p>
          <w:p w:rsidR="001C451F" w:rsidRDefault="001C451F" w:rsidP="003038A6">
            <w:pPr>
              <w:spacing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课</w:t>
            </w: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S99900014</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中国特色社会主义理论与实践研究</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36</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674" w:type="dxa"/>
            <w:vMerge w:val="restart"/>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必修6学分</w:t>
            </w:r>
          </w:p>
        </w:tc>
      </w:tr>
      <w:tr w:rsidR="001C451F" w:rsidTr="003038A6">
        <w:trPr>
          <w:trHeight w:val="340"/>
          <w:jc w:val="center"/>
        </w:trPr>
        <w:tc>
          <w:tcPr>
            <w:tcW w:w="575" w:type="dxa"/>
            <w:vMerge/>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36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S99900021</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英语Ⅰ</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72</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36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S99900022</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英语Ⅱ</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72</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val="restart"/>
            <w:tcBorders>
              <w:top w:val="single" w:sz="4" w:space="0" w:color="auto"/>
              <w:left w:val="single" w:sz="4" w:space="0" w:color="auto"/>
              <w:right w:val="single" w:sz="4" w:space="0" w:color="auto"/>
            </w:tcBorders>
            <w:vAlign w:val="center"/>
          </w:tcPr>
          <w:p w:rsidR="001C451F" w:rsidRDefault="001C451F" w:rsidP="003038A6">
            <w:pPr>
              <w:spacing w:line="360" w:lineRule="exact"/>
              <w:jc w:val="center"/>
              <w:rPr>
                <w:rFonts w:ascii="仿宋_GB2312" w:eastAsia="仿宋_GB2312" w:hAnsi="仿宋_GB2312" w:cs="仿宋_GB2312"/>
                <w:spacing w:val="-20"/>
                <w:szCs w:val="21"/>
              </w:rPr>
            </w:pPr>
            <w:r>
              <w:rPr>
                <w:rFonts w:ascii="仿宋_GB2312" w:eastAsia="仿宋_GB2312" w:hAnsi="仿宋_GB2312" w:cs="仿宋_GB2312" w:hint="eastAsia"/>
                <w:spacing w:val="-20"/>
                <w:szCs w:val="21"/>
              </w:rPr>
              <w:t>基</w:t>
            </w:r>
          </w:p>
          <w:p w:rsidR="001C451F" w:rsidRDefault="001C451F" w:rsidP="003038A6">
            <w:pPr>
              <w:spacing w:line="360" w:lineRule="exact"/>
              <w:jc w:val="center"/>
              <w:rPr>
                <w:rFonts w:ascii="仿宋_GB2312" w:eastAsia="仿宋_GB2312" w:hAnsi="仿宋_GB2312" w:cs="仿宋_GB2312"/>
                <w:spacing w:val="-20"/>
                <w:szCs w:val="21"/>
              </w:rPr>
            </w:pPr>
            <w:r>
              <w:rPr>
                <w:rFonts w:ascii="仿宋_GB2312" w:eastAsia="仿宋_GB2312" w:hAnsi="仿宋_GB2312" w:cs="仿宋_GB2312" w:hint="eastAsia"/>
                <w:spacing w:val="-20"/>
                <w:szCs w:val="21"/>
              </w:rPr>
              <w:t>础</w:t>
            </w:r>
          </w:p>
          <w:p w:rsidR="001C451F" w:rsidRDefault="001C451F" w:rsidP="003038A6">
            <w:pPr>
              <w:spacing w:line="36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课</w:t>
            </w: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S99900012</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现代教育理论专题</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36</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1674" w:type="dxa"/>
            <w:vMerge w:val="restart"/>
            <w:tcBorders>
              <w:top w:val="single" w:sz="4" w:space="0" w:color="auto"/>
              <w:left w:val="single" w:sz="4" w:space="0" w:color="auto"/>
              <w:right w:val="single" w:sz="4" w:space="0" w:color="auto"/>
            </w:tcBorders>
            <w:vAlign w:val="center"/>
          </w:tcPr>
          <w:p w:rsidR="001C451F" w:rsidRDefault="001C451F" w:rsidP="003038A6">
            <w:pPr>
              <w:widowControl/>
              <w:jc w:val="center"/>
              <w:rPr>
                <w:rFonts w:ascii="仿宋_GB2312" w:eastAsia="仿宋_GB2312" w:hAnsi="仿宋_GB2312" w:cs="仿宋_GB2312"/>
                <w:szCs w:val="21"/>
              </w:rPr>
            </w:pPr>
            <w:r>
              <w:rPr>
                <w:rFonts w:ascii="仿宋_GB2312" w:eastAsia="仿宋_GB2312" w:hAnsi="仿宋_GB2312" w:cs="仿宋_GB2312" w:hint="eastAsia"/>
                <w:szCs w:val="21"/>
              </w:rPr>
              <w:t>必修7学分</w:t>
            </w:r>
          </w:p>
        </w:tc>
      </w:tr>
      <w:tr w:rsidR="001C451F" w:rsidTr="003038A6">
        <w:trPr>
          <w:trHeight w:val="340"/>
          <w:jc w:val="center"/>
        </w:trPr>
        <w:tc>
          <w:tcPr>
            <w:tcW w:w="575" w:type="dxa"/>
            <w:vMerge/>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S99900009</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教育心理学</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36</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b/>
                <w:szCs w:val="21"/>
              </w:rPr>
            </w:pPr>
            <w:r>
              <w:rPr>
                <w:rFonts w:ascii="仿宋_GB2312" w:eastAsia="仿宋_GB2312" w:hAnsi="仿宋_GB2312" w:cs="仿宋_GB2312" w:hint="eastAsia"/>
                <w:szCs w:val="21"/>
              </w:rPr>
              <w:t>1</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S99900013</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教育研究方法</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54</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674" w:type="dxa"/>
            <w:vMerge/>
            <w:tcBorders>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val="restart"/>
            <w:tcBorders>
              <w:top w:val="single" w:sz="4" w:space="0" w:color="auto"/>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专</w:t>
            </w:r>
          </w:p>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业</w:t>
            </w:r>
          </w:p>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课</w:t>
            </w: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S00710010</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高等无机化学</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48</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1674" w:type="dxa"/>
            <w:vMerge w:val="restart"/>
            <w:tcBorders>
              <w:top w:val="single" w:sz="4" w:space="0" w:color="auto"/>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必修6学分</w:t>
            </w:r>
          </w:p>
        </w:tc>
      </w:tr>
      <w:tr w:rsidR="001C451F" w:rsidTr="003038A6">
        <w:trPr>
          <w:trHeight w:val="340"/>
          <w:jc w:val="center"/>
        </w:trPr>
        <w:tc>
          <w:tcPr>
            <w:tcW w:w="575" w:type="dxa"/>
            <w:vMerge/>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S00720047</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化学教育技能训练</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16</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S00720048</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化学课程与教学论</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32</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1674" w:type="dxa"/>
            <w:vMerge/>
            <w:tcBorders>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val="restart"/>
            <w:tcBorders>
              <w:top w:val="single" w:sz="4" w:space="0" w:color="auto"/>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非</w:t>
            </w:r>
          </w:p>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学</w:t>
            </w:r>
          </w:p>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位</w:t>
            </w:r>
          </w:p>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课</w:t>
            </w:r>
          </w:p>
        </w:tc>
        <w:tc>
          <w:tcPr>
            <w:tcW w:w="479" w:type="dxa"/>
            <w:vMerge w:val="restart"/>
            <w:tcBorders>
              <w:top w:val="single" w:sz="4" w:space="0" w:color="auto"/>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选</w:t>
            </w:r>
          </w:p>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修</w:t>
            </w:r>
          </w:p>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课</w:t>
            </w: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S99900016</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自然辩证法概论 ☆</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18</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1674" w:type="dxa"/>
            <w:vMerge w:val="restart"/>
            <w:tcBorders>
              <w:top w:val="single" w:sz="4" w:space="0" w:color="auto"/>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选修11学分，其中跨文理专业或教职业技能提升训练课程至少2学分；带“☆”为必选课。</w:t>
            </w: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S99900010</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中国传统文化（理工科）</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36</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S99900020</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教师职业技能提升训练</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36</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S00730113</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化学教学设计与案例分析</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32</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S00730114</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化学奥林匹克竞赛研究</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32</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tabs>
                <w:tab w:val="left" w:pos="584"/>
              </w:tabs>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S00730115</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中学化学疑难问题研究</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32</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S0073011</w:t>
            </w:r>
            <w:r>
              <w:rPr>
                <w:rFonts w:ascii="仿宋_GB2312" w:eastAsia="仿宋_GB2312" w:hAnsi="仿宋_GB2312" w:cs="仿宋_GB2312" w:hint="eastAsia"/>
                <w:szCs w:val="21"/>
              </w:rPr>
              <w:lastRenderedPageBreak/>
              <w:t>6</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lastRenderedPageBreak/>
              <w:t>中学化学实验设计与研究</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48</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S00730091</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化学生物学导论</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32</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S00730093</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无机功能材料</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32</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S00730015</w:t>
            </w:r>
          </w:p>
        </w:tc>
        <w:tc>
          <w:tcPr>
            <w:tcW w:w="3099" w:type="dxa"/>
            <w:tcBorders>
              <w:top w:val="single" w:sz="4" w:space="0" w:color="auto"/>
              <w:left w:val="single" w:sz="4" w:space="0" w:color="auto"/>
              <w:bottom w:val="single" w:sz="4" w:space="0" w:color="auto"/>
              <w:right w:val="single" w:sz="4" w:space="0" w:color="auto"/>
            </w:tcBorders>
          </w:tcPr>
          <w:p w:rsidR="001C451F" w:rsidRDefault="001C451F" w:rsidP="003038A6">
            <w:pPr>
              <w:spacing w:line="300" w:lineRule="auto"/>
              <w:jc w:val="left"/>
              <w:rPr>
                <w:rFonts w:ascii="仿宋_GB2312" w:eastAsia="仿宋_GB2312" w:hAnsi="仿宋_GB2312" w:cs="仿宋_GB2312"/>
                <w:szCs w:val="21"/>
              </w:rPr>
            </w:pPr>
            <w:r>
              <w:rPr>
                <w:rFonts w:ascii="仿宋_GB2312" w:eastAsia="仿宋_GB2312" w:hAnsi="仿宋_GB2312" w:cs="仿宋_GB2312" w:hint="eastAsia"/>
                <w:szCs w:val="21"/>
              </w:rPr>
              <w:t>化学史</w:t>
            </w:r>
          </w:p>
        </w:tc>
        <w:tc>
          <w:tcPr>
            <w:tcW w:w="639" w:type="dxa"/>
            <w:tcBorders>
              <w:top w:val="single" w:sz="4" w:space="0" w:color="auto"/>
              <w:left w:val="single" w:sz="4" w:space="0" w:color="auto"/>
              <w:bottom w:val="single" w:sz="4" w:space="0" w:color="auto"/>
              <w:right w:val="single" w:sz="4" w:space="0" w:color="auto"/>
            </w:tcBorders>
          </w:tcPr>
          <w:p w:rsidR="001C451F" w:rsidRDefault="001C451F" w:rsidP="003038A6">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32</w:t>
            </w:r>
          </w:p>
        </w:tc>
        <w:tc>
          <w:tcPr>
            <w:tcW w:w="639" w:type="dxa"/>
            <w:tcBorders>
              <w:top w:val="single" w:sz="4" w:space="0" w:color="auto"/>
              <w:left w:val="single" w:sz="4" w:space="0" w:color="auto"/>
              <w:bottom w:val="single" w:sz="4" w:space="0" w:color="auto"/>
              <w:right w:val="single" w:sz="4" w:space="0" w:color="auto"/>
            </w:tcBorders>
          </w:tcPr>
          <w:p w:rsidR="001C451F" w:rsidRDefault="001C451F" w:rsidP="003038A6">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w:t>
            </w:r>
          </w:p>
        </w:tc>
        <w:tc>
          <w:tcPr>
            <w:tcW w:w="958" w:type="dxa"/>
            <w:tcBorders>
              <w:top w:val="single" w:sz="4" w:space="0" w:color="auto"/>
              <w:left w:val="single" w:sz="4" w:space="0" w:color="auto"/>
              <w:bottom w:val="single" w:sz="4" w:space="0" w:color="auto"/>
              <w:right w:val="single" w:sz="4" w:space="0" w:color="auto"/>
            </w:tcBorders>
          </w:tcPr>
          <w:p w:rsidR="001C451F" w:rsidRDefault="001C451F" w:rsidP="003038A6">
            <w:pPr>
              <w:widowControl/>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val="restart"/>
            <w:tcBorders>
              <w:top w:val="single" w:sz="4" w:space="0" w:color="auto"/>
              <w:left w:val="single" w:sz="4" w:space="0" w:color="auto"/>
              <w:right w:val="single" w:sz="4" w:space="0" w:color="auto"/>
            </w:tcBorders>
          </w:tcPr>
          <w:p w:rsidR="001C451F" w:rsidRDefault="001C451F" w:rsidP="003038A6">
            <w:pPr>
              <w:rPr>
                <w:rFonts w:ascii="仿宋_GB2312" w:eastAsia="仿宋_GB2312" w:hAnsi="仿宋_GB2312" w:cs="仿宋_GB2312"/>
                <w:szCs w:val="21"/>
              </w:rPr>
            </w:pPr>
            <w:r>
              <w:rPr>
                <w:rFonts w:ascii="仿宋_GB2312" w:eastAsia="仿宋_GB2312" w:hAnsi="仿宋_GB2312" w:cs="仿宋_GB2312" w:hint="eastAsia"/>
                <w:szCs w:val="21"/>
              </w:rPr>
              <w:t>补修课程</w:t>
            </w: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S00740006</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widowControl/>
              <w:spacing w:line="300" w:lineRule="exact"/>
              <w:rPr>
                <w:rFonts w:ascii="仿宋_GB2312" w:eastAsia="仿宋_GB2312" w:hAnsi="仿宋_GB2312" w:cs="仿宋_GB2312"/>
                <w:bCs/>
                <w:szCs w:val="21"/>
              </w:rPr>
            </w:pPr>
            <w:r>
              <w:rPr>
                <w:rFonts w:ascii="仿宋_GB2312" w:eastAsia="仿宋_GB2312" w:hAnsi="仿宋_GB2312" w:cs="仿宋_GB2312" w:hint="eastAsia"/>
                <w:bCs/>
                <w:szCs w:val="21"/>
              </w:rPr>
              <w:t>中学化学教学法</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0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32</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0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0</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0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1</w:t>
            </w:r>
          </w:p>
        </w:tc>
        <w:tc>
          <w:tcPr>
            <w:tcW w:w="1674" w:type="dxa"/>
            <w:vMerge w:val="restart"/>
            <w:tcBorders>
              <w:top w:val="single" w:sz="4" w:space="0" w:color="auto"/>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不计学分</w:t>
            </w: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tcPr>
          <w:p w:rsidR="001C451F" w:rsidRDefault="001C451F" w:rsidP="003038A6">
            <w:pP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S00740007</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widowControl/>
              <w:spacing w:line="300" w:lineRule="exact"/>
              <w:rPr>
                <w:rFonts w:ascii="仿宋_GB2312" w:eastAsia="仿宋_GB2312" w:hAnsi="仿宋_GB2312" w:cs="仿宋_GB2312"/>
                <w:bCs/>
                <w:szCs w:val="21"/>
              </w:rPr>
            </w:pPr>
            <w:r>
              <w:rPr>
                <w:rFonts w:ascii="仿宋_GB2312" w:eastAsia="仿宋_GB2312" w:hAnsi="仿宋_GB2312" w:cs="仿宋_GB2312" w:hint="eastAsia"/>
                <w:bCs/>
                <w:szCs w:val="21"/>
              </w:rPr>
              <w:t>中学化学实验研究</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0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48</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0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0</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0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1</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575"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479" w:type="dxa"/>
            <w:vMerge/>
            <w:tcBorders>
              <w:left w:val="single" w:sz="4" w:space="0" w:color="auto"/>
              <w:right w:val="single" w:sz="4" w:space="0" w:color="auto"/>
            </w:tcBorders>
          </w:tcPr>
          <w:p w:rsidR="001C451F" w:rsidRDefault="001C451F" w:rsidP="003038A6">
            <w:pPr>
              <w:rPr>
                <w:rFonts w:ascii="仿宋_GB2312" w:eastAsia="仿宋_GB2312" w:hAnsi="仿宋_GB2312" w:cs="仿宋_GB2312"/>
                <w:szCs w:val="21"/>
              </w:rPr>
            </w:pPr>
          </w:p>
        </w:tc>
        <w:tc>
          <w:tcPr>
            <w:tcW w:w="1291"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S00740008</w:t>
            </w:r>
          </w:p>
        </w:tc>
        <w:tc>
          <w:tcPr>
            <w:tcW w:w="309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00" w:lineRule="exact"/>
              <w:rPr>
                <w:rFonts w:ascii="仿宋_GB2312" w:eastAsia="仿宋_GB2312" w:hAnsi="仿宋_GB2312" w:cs="仿宋_GB2312"/>
                <w:bCs/>
                <w:szCs w:val="21"/>
              </w:rPr>
            </w:pPr>
            <w:r>
              <w:rPr>
                <w:rFonts w:ascii="仿宋_GB2312" w:eastAsia="仿宋_GB2312" w:hAnsi="仿宋_GB2312" w:cs="仿宋_GB2312" w:hint="eastAsia"/>
                <w:bCs/>
                <w:szCs w:val="21"/>
              </w:rPr>
              <w:t>教育见习</w:t>
            </w:r>
          </w:p>
        </w:tc>
        <w:tc>
          <w:tcPr>
            <w:tcW w:w="639"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00" w:lineRule="exact"/>
              <w:jc w:val="center"/>
              <w:rPr>
                <w:rFonts w:ascii="仿宋_GB2312" w:eastAsia="仿宋_GB2312" w:hAnsi="仿宋_GB2312" w:cs="仿宋_GB2312"/>
                <w:bCs/>
                <w:szCs w:val="21"/>
              </w:rPr>
            </w:pPr>
          </w:p>
        </w:tc>
        <w:tc>
          <w:tcPr>
            <w:tcW w:w="639" w:type="dxa"/>
            <w:tcBorders>
              <w:top w:val="single" w:sz="4" w:space="0" w:color="auto"/>
              <w:left w:val="single" w:sz="4" w:space="0" w:color="auto"/>
              <w:bottom w:val="single" w:sz="4" w:space="0" w:color="auto"/>
              <w:right w:val="single" w:sz="4" w:space="0" w:color="auto"/>
            </w:tcBorders>
          </w:tcPr>
          <w:p w:rsidR="001C451F" w:rsidRDefault="001C451F" w:rsidP="003038A6">
            <w:pPr>
              <w:spacing w:line="30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0</w:t>
            </w:r>
          </w:p>
        </w:tc>
        <w:tc>
          <w:tcPr>
            <w:tcW w:w="958" w:type="dxa"/>
            <w:tcBorders>
              <w:top w:val="single" w:sz="4" w:space="0" w:color="auto"/>
              <w:left w:val="single" w:sz="4" w:space="0" w:color="auto"/>
              <w:bottom w:val="single" w:sz="4" w:space="0" w:color="auto"/>
              <w:right w:val="single" w:sz="4" w:space="0" w:color="auto"/>
            </w:tcBorders>
            <w:vAlign w:val="center"/>
          </w:tcPr>
          <w:p w:rsidR="001C451F" w:rsidRDefault="001C451F" w:rsidP="003038A6">
            <w:pPr>
              <w:spacing w:line="30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1-3</w:t>
            </w:r>
          </w:p>
        </w:tc>
        <w:tc>
          <w:tcPr>
            <w:tcW w:w="1674" w:type="dxa"/>
            <w:vMerge/>
            <w:tcBorders>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rPr>
          <w:trHeight w:val="340"/>
          <w:jc w:val="center"/>
        </w:trPr>
        <w:tc>
          <w:tcPr>
            <w:tcW w:w="1054" w:type="dxa"/>
            <w:gridSpan w:val="2"/>
            <w:vMerge w:val="restart"/>
            <w:tcBorders>
              <w:top w:val="single" w:sz="4" w:space="0" w:color="auto"/>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必修</w:t>
            </w:r>
          </w:p>
          <w:p w:rsidR="001C451F" w:rsidRDefault="001C451F" w:rsidP="003038A6">
            <w:pPr>
              <w:spacing w:line="40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环节</w:t>
            </w:r>
          </w:p>
        </w:tc>
        <w:tc>
          <w:tcPr>
            <w:tcW w:w="1291" w:type="dxa"/>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学术活动</w:t>
            </w:r>
          </w:p>
        </w:tc>
        <w:tc>
          <w:tcPr>
            <w:tcW w:w="3099" w:type="dxa"/>
            <w:tcBorders>
              <w:top w:val="nil"/>
              <w:left w:val="single" w:sz="4" w:space="0" w:color="auto"/>
              <w:bottom w:val="single" w:sz="4" w:space="0" w:color="auto"/>
              <w:right w:val="single" w:sz="4" w:space="0" w:color="auto"/>
            </w:tcBorders>
            <w:vAlign w:val="center"/>
          </w:tcPr>
          <w:p w:rsidR="001C451F" w:rsidRDefault="001C451F" w:rsidP="003038A6">
            <w:pPr>
              <w:adjustRightInd w:val="0"/>
              <w:snapToGrid w:val="0"/>
              <w:rPr>
                <w:rFonts w:ascii="仿宋_GB2312" w:eastAsia="仿宋_GB2312" w:hAnsi="仿宋_GB2312" w:cs="仿宋_GB2312"/>
                <w:szCs w:val="21"/>
              </w:rPr>
            </w:pPr>
            <w:r>
              <w:rPr>
                <w:rFonts w:ascii="仿宋_GB2312" w:eastAsia="仿宋_GB2312" w:hAnsi="仿宋_GB2312" w:cs="仿宋_GB2312" w:hint="eastAsia"/>
                <w:szCs w:val="21"/>
              </w:rPr>
              <w:t>参加学术活动不少于10次，作公开学术报告不少于1次</w:t>
            </w:r>
          </w:p>
        </w:tc>
        <w:tc>
          <w:tcPr>
            <w:tcW w:w="639" w:type="dxa"/>
            <w:tcBorders>
              <w:top w:val="nil"/>
              <w:left w:val="single" w:sz="4" w:space="0" w:color="auto"/>
              <w:bottom w:val="single" w:sz="4" w:space="0" w:color="auto"/>
              <w:right w:val="single" w:sz="4" w:space="0" w:color="auto"/>
            </w:tcBorders>
            <w:vAlign w:val="center"/>
          </w:tcPr>
          <w:p w:rsidR="001C451F" w:rsidRDefault="001C451F" w:rsidP="003038A6">
            <w:pPr>
              <w:adjustRightInd w:val="0"/>
              <w:snapToGrid w:val="0"/>
              <w:jc w:val="center"/>
              <w:rPr>
                <w:rFonts w:ascii="仿宋_GB2312" w:eastAsia="仿宋_GB2312" w:hAnsi="仿宋_GB2312" w:cs="仿宋_GB2312"/>
                <w:szCs w:val="21"/>
              </w:rPr>
            </w:pPr>
          </w:p>
        </w:tc>
        <w:tc>
          <w:tcPr>
            <w:tcW w:w="639" w:type="dxa"/>
            <w:tcBorders>
              <w:top w:val="nil"/>
              <w:left w:val="single" w:sz="4" w:space="0" w:color="auto"/>
              <w:bottom w:val="single" w:sz="4" w:space="0" w:color="auto"/>
              <w:right w:val="single" w:sz="4" w:space="0" w:color="auto"/>
            </w:tcBorders>
            <w:vAlign w:val="center"/>
          </w:tcPr>
          <w:p w:rsidR="001C451F" w:rsidRDefault="001C451F" w:rsidP="003038A6">
            <w:pPr>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nil"/>
              <w:left w:val="single" w:sz="4" w:space="0" w:color="auto"/>
              <w:bottom w:val="single" w:sz="4" w:space="0" w:color="auto"/>
              <w:right w:val="single" w:sz="4" w:space="0" w:color="auto"/>
            </w:tcBorders>
            <w:vAlign w:val="center"/>
          </w:tcPr>
          <w:p w:rsidR="001C451F" w:rsidRDefault="001C451F" w:rsidP="003038A6">
            <w:pPr>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1-3</w:t>
            </w:r>
          </w:p>
        </w:tc>
        <w:tc>
          <w:tcPr>
            <w:tcW w:w="1674" w:type="dxa"/>
            <w:vMerge w:val="restart"/>
            <w:tcBorders>
              <w:top w:val="single" w:sz="4" w:space="0" w:color="auto"/>
              <w:left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共4学分</w:t>
            </w:r>
          </w:p>
        </w:tc>
      </w:tr>
      <w:tr w:rsidR="001C451F" w:rsidTr="003038A6">
        <w:trPr>
          <w:trHeight w:val="340"/>
          <w:jc w:val="center"/>
        </w:trPr>
        <w:tc>
          <w:tcPr>
            <w:tcW w:w="1054" w:type="dxa"/>
            <w:gridSpan w:val="2"/>
            <w:vMerge/>
            <w:tcBorders>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c>
          <w:tcPr>
            <w:tcW w:w="1291" w:type="dxa"/>
            <w:tcBorders>
              <w:top w:val="nil"/>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实践环节</w:t>
            </w:r>
          </w:p>
        </w:tc>
        <w:tc>
          <w:tcPr>
            <w:tcW w:w="3099" w:type="dxa"/>
            <w:tcBorders>
              <w:top w:val="nil"/>
              <w:left w:val="single" w:sz="4" w:space="0" w:color="auto"/>
              <w:bottom w:val="single" w:sz="4" w:space="0" w:color="auto"/>
              <w:right w:val="single" w:sz="4" w:space="0" w:color="auto"/>
            </w:tcBorders>
            <w:vAlign w:val="center"/>
          </w:tcPr>
          <w:p w:rsidR="001C451F" w:rsidRDefault="001C451F" w:rsidP="003038A6">
            <w:pPr>
              <w:adjustRightInd w:val="0"/>
              <w:snapToGrid w:val="0"/>
              <w:rPr>
                <w:rFonts w:ascii="仿宋_GB2312" w:eastAsia="仿宋_GB2312" w:hAnsi="仿宋_GB2312" w:cs="仿宋_GB2312"/>
                <w:szCs w:val="21"/>
              </w:rPr>
            </w:pPr>
            <w:r>
              <w:rPr>
                <w:rFonts w:ascii="仿宋_GB2312" w:eastAsia="仿宋_GB2312" w:hAnsi="仿宋_GB2312" w:cs="仿宋_GB2312" w:hint="eastAsia"/>
                <w:szCs w:val="21"/>
              </w:rPr>
              <w:t>教学实践、社会实践</w:t>
            </w:r>
          </w:p>
        </w:tc>
        <w:tc>
          <w:tcPr>
            <w:tcW w:w="639" w:type="dxa"/>
            <w:tcBorders>
              <w:top w:val="nil"/>
              <w:left w:val="single" w:sz="4" w:space="0" w:color="auto"/>
              <w:bottom w:val="single" w:sz="4" w:space="0" w:color="auto"/>
              <w:right w:val="single" w:sz="4" w:space="0" w:color="auto"/>
            </w:tcBorders>
            <w:vAlign w:val="center"/>
          </w:tcPr>
          <w:p w:rsidR="001C451F" w:rsidRDefault="001C451F" w:rsidP="003038A6">
            <w:pPr>
              <w:adjustRightInd w:val="0"/>
              <w:snapToGrid w:val="0"/>
              <w:jc w:val="center"/>
              <w:rPr>
                <w:rFonts w:ascii="仿宋_GB2312" w:eastAsia="仿宋_GB2312" w:hAnsi="仿宋_GB2312" w:cs="仿宋_GB2312"/>
                <w:szCs w:val="21"/>
              </w:rPr>
            </w:pPr>
          </w:p>
        </w:tc>
        <w:tc>
          <w:tcPr>
            <w:tcW w:w="639" w:type="dxa"/>
            <w:tcBorders>
              <w:top w:val="nil"/>
              <w:left w:val="single" w:sz="4" w:space="0" w:color="auto"/>
              <w:bottom w:val="single" w:sz="4" w:space="0" w:color="auto"/>
              <w:right w:val="single" w:sz="4" w:space="0" w:color="auto"/>
            </w:tcBorders>
            <w:vAlign w:val="center"/>
          </w:tcPr>
          <w:p w:rsidR="001C451F" w:rsidRDefault="001C451F" w:rsidP="003038A6">
            <w:pPr>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958" w:type="dxa"/>
            <w:tcBorders>
              <w:top w:val="nil"/>
              <w:left w:val="single" w:sz="4" w:space="0" w:color="auto"/>
              <w:bottom w:val="single" w:sz="4" w:space="0" w:color="auto"/>
              <w:right w:val="single" w:sz="4" w:space="0" w:color="auto"/>
            </w:tcBorders>
            <w:vAlign w:val="center"/>
          </w:tcPr>
          <w:p w:rsidR="001C451F" w:rsidRDefault="001C451F" w:rsidP="003038A6">
            <w:pPr>
              <w:adjustRightInd w:val="0"/>
              <w:snapToGrid w:val="0"/>
              <w:jc w:val="center"/>
              <w:rPr>
                <w:rFonts w:ascii="仿宋_GB2312" w:eastAsia="仿宋_GB2312" w:hAnsi="仿宋_GB2312" w:cs="仿宋_GB2312"/>
                <w:szCs w:val="21"/>
              </w:rPr>
            </w:pPr>
            <w:r>
              <w:rPr>
                <w:rFonts w:ascii="仿宋_GB2312" w:eastAsia="仿宋_GB2312" w:hAnsi="仿宋_GB2312" w:cs="仿宋_GB2312" w:hint="eastAsia"/>
                <w:szCs w:val="21"/>
              </w:rPr>
              <w:t>1-3</w:t>
            </w:r>
          </w:p>
        </w:tc>
        <w:tc>
          <w:tcPr>
            <w:tcW w:w="1674" w:type="dxa"/>
            <w:vMerge/>
            <w:tcBorders>
              <w:left w:val="single" w:sz="4" w:space="0" w:color="auto"/>
              <w:bottom w:val="single" w:sz="4" w:space="0" w:color="auto"/>
              <w:right w:val="single" w:sz="4" w:space="0" w:color="auto"/>
            </w:tcBorders>
            <w:vAlign w:val="center"/>
          </w:tcPr>
          <w:p w:rsidR="001C451F" w:rsidRDefault="001C451F" w:rsidP="003038A6">
            <w:pPr>
              <w:spacing w:line="400" w:lineRule="exact"/>
              <w:jc w:val="center"/>
              <w:rPr>
                <w:rFonts w:ascii="仿宋_GB2312" w:eastAsia="仿宋_GB2312" w:hAnsi="仿宋_GB2312" w:cs="仿宋_GB2312"/>
                <w:szCs w:val="21"/>
              </w:rPr>
            </w:pPr>
          </w:p>
        </w:tc>
      </w:tr>
      <w:tr w:rsidR="001C451F" w:rsidTr="003038A6">
        <w:tblPrEx>
          <w:tblBorders>
            <w:insideH w:val="single" w:sz="4" w:space="0" w:color="auto"/>
            <w:insideV w:val="single" w:sz="4" w:space="0" w:color="auto"/>
          </w:tblBorders>
        </w:tblPrEx>
        <w:trPr>
          <w:trHeight w:val="397"/>
          <w:jc w:val="center"/>
        </w:trPr>
        <w:tc>
          <w:tcPr>
            <w:tcW w:w="575" w:type="dxa"/>
            <w:vMerge w:val="restart"/>
            <w:vAlign w:val="center"/>
          </w:tcPr>
          <w:p w:rsidR="001C451F" w:rsidRDefault="001C451F" w:rsidP="003038A6">
            <w:pPr>
              <w:rPr>
                <w:rFonts w:ascii="仿宋_GB2312" w:eastAsia="仿宋_GB2312" w:hAnsi="仿宋_GB2312" w:cs="仿宋_GB2312"/>
                <w:kern w:val="0"/>
                <w:szCs w:val="21"/>
              </w:rPr>
            </w:pPr>
            <w:r>
              <w:rPr>
                <w:rFonts w:ascii="仿宋_GB2312" w:eastAsia="仿宋_GB2312" w:hAnsi="仿宋_GB2312" w:cs="仿宋_GB2312" w:hint="eastAsia"/>
                <w:kern w:val="0"/>
                <w:szCs w:val="21"/>
              </w:rPr>
              <w:t>说</w:t>
            </w:r>
          </w:p>
          <w:p w:rsidR="001C451F" w:rsidRDefault="001C451F" w:rsidP="003038A6">
            <w:pPr>
              <w:rPr>
                <w:rFonts w:ascii="仿宋_GB2312" w:eastAsia="仿宋_GB2312" w:hAnsi="仿宋_GB2312" w:cs="仿宋_GB2312"/>
                <w:szCs w:val="21"/>
              </w:rPr>
            </w:pPr>
            <w:r>
              <w:rPr>
                <w:rFonts w:ascii="仿宋_GB2312" w:eastAsia="仿宋_GB2312" w:hAnsi="仿宋_GB2312" w:cs="仿宋_GB2312" w:hint="eastAsia"/>
                <w:kern w:val="0"/>
                <w:szCs w:val="21"/>
              </w:rPr>
              <w:t>明</w:t>
            </w:r>
          </w:p>
        </w:tc>
        <w:tc>
          <w:tcPr>
            <w:tcW w:w="4869" w:type="dxa"/>
            <w:gridSpan w:val="3"/>
            <w:vMerge w:val="restart"/>
            <w:vAlign w:val="center"/>
          </w:tcPr>
          <w:p w:rsidR="001C451F" w:rsidRDefault="001C451F" w:rsidP="003038A6">
            <w:pPr>
              <w:ind w:left="210" w:hangingChars="100" w:hanging="210"/>
              <w:rPr>
                <w:rFonts w:ascii="仿宋_GB2312" w:eastAsia="仿宋_GB2312" w:hAnsi="仿宋_GB2312" w:cs="仿宋_GB2312"/>
                <w:szCs w:val="21"/>
              </w:rPr>
            </w:pPr>
            <w:r>
              <w:rPr>
                <w:rFonts w:ascii="仿宋_GB2312" w:eastAsia="仿宋_GB2312" w:hAnsi="仿宋_GB2312" w:cs="仿宋_GB2312" w:hint="eastAsia"/>
                <w:szCs w:val="21"/>
              </w:rPr>
              <w:t>1.学分定额为34学分，包括课程学30学分，学术活动、实践环节各占2学分，学位论文不计学分。</w:t>
            </w:r>
          </w:p>
          <w:p w:rsidR="001C451F" w:rsidRDefault="001C451F" w:rsidP="003038A6">
            <w:pPr>
              <w:ind w:left="210" w:hangingChars="100" w:hanging="210"/>
              <w:rPr>
                <w:rFonts w:ascii="仿宋_GB2312" w:eastAsia="仿宋_GB2312" w:hAnsi="仿宋_GB2312" w:cs="仿宋_GB2312"/>
                <w:szCs w:val="21"/>
              </w:rPr>
            </w:pPr>
            <w:r>
              <w:rPr>
                <w:rFonts w:ascii="仿宋_GB2312" w:eastAsia="仿宋_GB2312" w:hAnsi="仿宋_GB2312" w:cs="仿宋_GB2312" w:hint="eastAsia"/>
                <w:szCs w:val="21"/>
              </w:rPr>
              <w:t>2.补修课程仅限跨学科、专业和同等学力录取的研究生。</w:t>
            </w:r>
          </w:p>
        </w:tc>
        <w:tc>
          <w:tcPr>
            <w:tcW w:w="639" w:type="dxa"/>
            <w:vMerge w:val="restart"/>
            <w:vAlign w:val="center"/>
          </w:tcPr>
          <w:p w:rsidR="001C451F" w:rsidRDefault="001C451F" w:rsidP="003038A6">
            <w:pPr>
              <w:rPr>
                <w:rFonts w:ascii="仿宋_GB2312" w:eastAsia="仿宋_GB2312" w:hAnsi="仿宋_GB2312" w:cs="仿宋_GB2312"/>
                <w:szCs w:val="21"/>
              </w:rPr>
            </w:pPr>
            <w:r>
              <w:rPr>
                <w:rFonts w:ascii="仿宋_GB2312" w:eastAsia="仿宋_GB2312" w:hAnsi="仿宋_GB2312" w:cs="仿宋_GB2312" w:hint="eastAsia"/>
                <w:szCs w:val="21"/>
              </w:rPr>
              <w:t>学分</w:t>
            </w:r>
          </w:p>
          <w:p w:rsidR="001C451F" w:rsidRDefault="001C451F" w:rsidP="003038A6">
            <w:pPr>
              <w:rPr>
                <w:rFonts w:ascii="仿宋_GB2312" w:eastAsia="仿宋_GB2312" w:hAnsi="仿宋_GB2312" w:cs="仿宋_GB2312"/>
                <w:szCs w:val="21"/>
              </w:rPr>
            </w:pPr>
            <w:r>
              <w:rPr>
                <w:rFonts w:ascii="仿宋_GB2312" w:eastAsia="仿宋_GB2312" w:hAnsi="仿宋_GB2312" w:cs="仿宋_GB2312" w:hint="eastAsia"/>
                <w:szCs w:val="21"/>
              </w:rPr>
              <w:t>分配</w:t>
            </w:r>
          </w:p>
        </w:tc>
        <w:tc>
          <w:tcPr>
            <w:tcW w:w="1597" w:type="dxa"/>
            <w:gridSpan w:val="2"/>
            <w:vAlign w:val="center"/>
          </w:tcPr>
          <w:p w:rsidR="001C451F" w:rsidRDefault="001C451F" w:rsidP="003038A6">
            <w:pPr>
              <w:jc w:val="center"/>
              <w:rPr>
                <w:rFonts w:ascii="仿宋_GB2312" w:eastAsia="仿宋_GB2312" w:hAnsi="仿宋_GB2312" w:cs="仿宋_GB2312"/>
                <w:szCs w:val="21"/>
              </w:rPr>
            </w:pPr>
            <w:r>
              <w:rPr>
                <w:rFonts w:ascii="仿宋_GB2312" w:eastAsia="仿宋_GB2312" w:hAnsi="仿宋_GB2312" w:cs="仿宋_GB2312" w:hint="eastAsia"/>
                <w:szCs w:val="21"/>
              </w:rPr>
              <w:t>学   位   课</w:t>
            </w:r>
          </w:p>
        </w:tc>
        <w:tc>
          <w:tcPr>
            <w:tcW w:w="1674" w:type="dxa"/>
            <w:vAlign w:val="center"/>
          </w:tcPr>
          <w:p w:rsidR="001C451F" w:rsidRDefault="001C451F" w:rsidP="003038A6">
            <w:pPr>
              <w:jc w:val="center"/>
              <w:rPr>
                <w:rFonts w:ascii="仿宋_GB2312" w:eastAsia="仿宋_GB2312" w:hAnsi="仿宋_GB2312" w:cs="仿宋_GB2312"/>
                <w:szCs w:val="21"/>
              </w:rPr>
            </w:pPr>
            <w:r>
              <w:rPr>
                <w:rFonts w:ascii="仿宋_GB2312" w:eastAsia="仿宋_GB2312" w:hAnsi="仿宋_GB2312" w:cs="仿宋_GB2312" w:hint="eastAsia"/>
                <w:szCs w:val="21"/>
              </w:rPr>
              <w:t>19学分</w:t>
            </w:r>
          </w:p>
        </w:tc>
      </w:tr>
      <w:tr w:rsidR="001C451F" w:rsidTr="003038A6">
        <w:tblPrEx>
          <w:tblBorders>
            <w:insideH w:val="single" w:sz="4" w:space="0" w:color="auto"/>
            <w:insideV w:val="single" w:sz="4" w:space="0" w:color="auto"/>
          </w:tblBorders>
        </w:tblPrEx>
        <w:trPr>
          <w:trHeight w:val="397"/>
          <w:jc w:val="center"/>
        </w:trPr>
        <w:tc>
          <w:tcPr>
            <w:tcW w:w="575" w:type="dxa"/>
            <w:vMerge/>
          </w:tcPr>
          <w:p w:rsidR="001C451F" w:rsidRDefault="001C451F" w:rsidP="003038A6">
            <w:pPr>
              <w:rPr>
                <w:rFonts w:ascii="仿宋_GB2312" w:eastAsia="仿宋_GB2312" w:hAnsi="仿宋_GB2312" w:cs="仿宋_GB2312"/>
                <w:szCs w:val="21"/>
              </w:rPr>
            </w:pPr>
          </w:p>
        </w:tc>
        <w:tc>
          <w:tcPr>
            <w:tcW w:w="4869" w:type="dxa"/>
            <w:gridSpan w:val="3"/>
            <w:vMerge/>
          </w:tcPr>
          <w:p w:rsidR="001C451F" w:rsidRDefault="001C451F" w:rsidP="003038A6">
            <w:pPr>
              <w:rPr>
                <w:rFonts w:ascii="仿宋_GB2312" w:eastAsia="仿宋_GB2312" w:hAnsi="仿宋_GB2312" w:cs="仿宋_GB2312"/>
                <w:szCs w:val="21"/>
              </w:rPr>
            </w:pPr>
          </w:p>
        </w:tc>
        <w:tc>
          <w:tcPr>
            <w:tcW w:w="639" w:type="dxa"/>
            <w:vMerge/>
          </w:tcPr>
          <w:p w:rsidR="001C451F" w:rsidRDefault="001C451F" w:rsidP="003038A6">
            <w:pPr>
              <w:rPr>
                <w:rFonts w:ascii="仿宋_GB2312" w:eastAsia="仿宋_GB2312" w:hAnsi="仿宋_GB2312" w:cs="仿宋_GB2312"/>
                <w:szCs w:val="21"/>
              </w:rPr>
            </w:pPr>
          </w:p>
        </w:tc>
        <w:tc>
          <w:tcPr>
            <w:tcW w:w="1597" w:type="dxa"/>
            <w:gridSpan w:val="2"/>
            <w:vAlign w:val="center"/>
          </w:tcPr>
          <w:p w:rsidR="001C451F" w:rsidRDefault="001C451F" w:rsidP="003038A6">
            <w:pPr>
              <w:jc w:val="center"/>
              <w:rPr>
                <w:rFonts w:ascii="仿宋_GB2312" w:eastAsia="仿宋_GB2312" w:hAnsi="仿宋_GB2312" w:cs="仿宋_GB2312"/>
                <w:szCs w:val="21"/>
              </w:rPr>
            </w:pPr>
            <w:r>
              <w:rPr>
                <w:rFonts w:ascii="仿宋_GB2312" w:eastAsia="仿宋_GB2312" w:hAnsi="仿宋_GB2312" w:cs="仿宋_GB2312" w:hint="eastAsia"/>
                <w:szCs w:val="21"/>
              </w:rPr>
              <w:t>非  学 位 课</w:t>
            </w:r>
          </w:p>
        </w:tc>
        <w:tc>
          <w:tcPr>
            <w:tcW w:w="1674" w:type="dxa"/>
            <w:vAlign w:val="center"/>
          </w:tcPr>
          <w:p w:rsidR="001C451F" w:rsidRDefault="001C451F" w:rsidP="003038A6">
            <w:pPr>
              <w:jc w:val="center"/>
              <w:rPr>
                <w:rFonts w:ascii="仿宋_GB2312" w:eastAsia="仿宋_GB2312" w:hAnsi="仿宋_GB2312" w:cs="仿宋_GB2312"/>
                <w:szCs w:val="21"/>
              </w:rPr>
            </w:pPr>
            <w:r>
              <w:rPr>
                <w:rFonts w:ascii="仿宋_GB2312" w:eastAsia="仿宋_GB2312" w:hAnsi="仿宋_GB2312" w:cs="仿宋_GB2312" w:hint="eastAsia"/>
                <w:szCs w:val="21"/>
              </w:rPr>
              <w:t>11学分</w:t>
            </w:r>
          </w:p>
        </w:tc>
      </w:tr>
      <w:tr w:rsidR="001C451F" w:rsidTr="003038A6">
        <w:tblPrEx>
          <w:tblBorders>
            <w:insideH w:val="single" w:sz="4" w:space="0" w:color="auto"/>
            <w:insideV w:val="single" w:sz="4" w:space="0" w:color="auto"/>
          </w:tblBorders>
        </w:tblPrEx>
        <w:trPr>
          <w:trHeight w:val="397"/>
          <w:jc w:val="center"/>
        </w:trPr>
        <w:tc>
          <w:tcPr>
            <w:tcW w:w="575" w:type="dxa"/>
            <w:vMerge/>
            <w:tcBorders>
              <w:bottom w:val="single" w:sz="4" w:space="0" w:color="auto"/>
            </w:tcBorders>
          </w:tcPr>
          <w:p w:rsidR="001C451F" w:rsidRDefault="001C451F" w:rsidP="003038A6">
            <w:pPr>
              <w:rPr>
                <w:rFonts w:ascii="仿宋_GB2312" w:eastAsia="仿宋_GB2312" w:hAnsi="仿宋_GB2312" w:cs="仿宋_GB2312"/>
                <w:szCs w:val="21"/>
              </w:rPr>
            </w:pPr>
          </w:p>
        </w:tc>
        <w:tc>
          <w:tcPr>
            <w:tcW w:w="4869" w:type="dxa"/>
            <w:gridSpan w:val="3"/>
            <w:vMerge/>
            <w:tcBorders>
              <w:bottom w:val="single" w:sz="4" w:space="0" w:color="auto"/>
            </w:tcBorders>
          </w:tcPr>
          <w:p w:rsidR="001C451F" w:rsidRDefault="001C451F" w:rsidP="003038A6">
            <w:pPr>
              <w:rPr>
                <w:rFonts w:ascii="仿宋_GB2312" w:eastAsia="仿宋_GB2312" w:hAnsi="仿宋_GB2312" w:cs="仿宋_GB2312"/>
                <w:szCs w:val="21"/>
              </w:rPr>
            </w:pPr>
          </w:p>
        </w:tc>
        <w:tc>
          <w:tcPr>
            <w:tcW w:w="639" w:type="dxa"/>
            <w:vMerge/>
            <w:tcBorders>
              <w:bottom w:val="single" w:sz="4" w:space="0" w:color="auto"/>
            </w:tcBorders>
          </w:tcPr>
          <w:p w:rsidR="001C451F" w:rsidRDefault="001C451F" w:rsidP="003038A6">
            <w:pPr>
              <w:rPr>
                <w:rFonts w:ascii="仿宋_GB2312" w:eastAsia="仿宋_GB2312" w:hAnsi="仿宋_GB2312" w:cs="仿宋_GB2312"/>
                <w:szCs w:val="21"/>
              </w:rPr>
            </w:pPr>
          </w:p>
        </w:tc>
        <w:tc>
          <w:tcPr>
            <w:tcW w:w="1597" w:type="dxa"/>
            <w:gridSpan w:val="2"/>
            <w:tcBorders>
              <w:bottom w:val="single" w:sz="4" w:space="0" w:color="auto"/>
            </w:tcBorders>
            <w:vAlign w:val="center"/>
          </w:tcPr>
          <w:p w:rsidR="001C451F" w:rsidRDefault="001C451F" w:rsidP="003038A6">
            <w:pPr>
              <w:jc w:val="center"/>
              <w:rPr>
                <w:rFonts w:ascii="仿宋_GB2312" w:eastAsia="仿宋_GB2312" w:hAnsi="仿宋_GB2312" w:cs="仿宋_GB2312"/>
                <w:szCs w:val="21"/>
              </w:rPr>
            </w:pPr>
            <w:r>
              <w:rPr>
                <w:rFonts w:ascii="仿宋_GB2312" w:eastAsia="仿宋_GB2312" w:hAnsi="仿宋_GB2312" w:cs="仿宋_GB2312" w:hint="eastAsia"/>
                <w:szCs w:val="21"/>
              </w:rPr>
              <w:t>必  修 环 节</w:t>
            </w:r>
          </w:p>
        </w:tc>
        <w:tc>
          <w:tcPr>
            <w:tcW w:w="1674" w:type="dxa"/>
            <w:tcBorders>
              <w:bottom w:val="single" w:sz="4" w:space="0" w:color="auto"/>
            </w:tcBorders>
            <w:vAlign w:val="center"/>
          </w:tcPr>
          <w:p w:rsidR="001C451F" w:rsidRDefault="001C451F" w:rsidP="003038A6">
            <w:pPr>
              <w:jc w:val="center"/>
              <w:rPr>
                <w:rFonts w:ascii="仿宋_GB2312" w:eastAsia="仿宋_GB2312" w:hAnsi="仿宋_GB2312" w:cs="仿宋_GB2312"/>
                <w:szCs w:val="21"/>
              </w:rPr>
            </w:pPr>
            <w:r>
              <w:rPr>
                <w:rFonts w:ascii="仿宋_GB2312" w:eastAsia="仿宋_GB2312" w:hAnsi="仿宋_GB2312" w:cs="仿宋_GB2312" w:hint="eastAsia"/>
                <w:szCs w:val="21"/>
              </w:rPr>
              <w:t>4学分</w:t>
            </w:r>
          </w:p>
        </w:tc>
      </w:tr>
    </w:tbl>
    <w:p w:rsidR="00610B4D" w:rsidRDefault="00610B4D"/>
    <w:sectPr w:rsidR="00610B4D" w:rsidSect="00FD55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DED" w:rsidRDefault="00486DED" w:rsidP="001C451F">
      <w:r>
        <w:separator/>
      </w:r>
    </w:p>
  </w:endnote>
  <w:endnote w:type="continuationSeparator" w:id="1">
    <w:p w:rsidR="00486DED" w:rsidRDefault="00486DED" w:rsidP="001C45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DED" w:rsidRDefault="00486DED" w:rsidP="001C451F">
      <w:r>
        <w:separator/>
      </w:r>
    </w:p>
  </w:footnote>
  <w:footnote w:type="continuationSeparator" w:id="1">
    <w:p w:rsidR="00486DED" w:rsidRDefault="00486DED" w:rsidP="001C45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451F"/>
    <w:rsid w:val="001C451F"/>
    <w:rsid w:val="00486DED"/>
    <w:rsid w:val="005F252A"/>
    <w:rsid w:val="00610B4D"/>
    <w:rsid w:val="00FD55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51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45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C451F"/>
    <w:rPr>
      <w:sz w:val="18"/>
      <w:szCs w:val="18"/>
    </w:rPr>
  </w:style>
  <w:style w:type="paragraph" w:styleId="a4">
    <w:name w:val="footer"/>
    <w:basedOn w:val="a"/>
    <w:link w:val="Char0"/>
    <w:uiPriority w:val="99"/>
    <w:semiHidden/>
    <w:unhideWhenUsed/>
    <w:rsid w:val="001C451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C451F"/>
    <w:rPr>
      <w:sz w:val="18"/>
      <w:szCs w:val="18"/>
    </w:rPr>
  </w:style>
  <w:style w:type="character" w:customStyle="1" w:styleId="Char1">
    <w:name w:val="正文文本 Char1"/>
    <w:basedOn w:val="a0"/>
    <w:link w:val="a5"/>
    <w:rsid w:val="001C451F"/>
    <w:rPr>
      <w:rFonts w:ascii="仿宋_GB2312" w:eastAsia="仿宋_GB2312"/>
      <w:szCs w:val="24"/>
    </w:rPr>
  </w:style>
  <w:style w:type="paragraph" w:styleId="a5">
    <w:name w:val="Body Text"/>
    <w:basedOn w:val="a"/>
    <w:link w:val="Char1"/>
    <w:rsid w:val="001C451F"/>
    <w:pPr>
      <w:spacing w:line="240" w:lineRule="exact"/>
      <w:jc w:val="center"/>
    </w:pPr>
    <w:rPr>
      <w:rFonts w:ascii="仿宋_GB2312" w:eastAsia="仿宋_GB2312" w:hAnsiTheme="minorHAnsi" w:cstheme="minorBidi"/>
    </w:rPr>
  </w:style>
  <w:style w:type="character" w:customStyle="1" w:styleId="Char2">
    <w:name w:val="正文文本 Char"/>
    <w:basedOn w:val="a0"/>
    <w:link w:val="a5"/>
    <w:uiPriority w:val="99"/>
    <w:semiHidden/>
    <w:rsid w:val="001C451F"/>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刘碧燕</dc:creator>
  <cp:keywords/>
  <dc:description/>
  <cp:lastModifiedBy>刘碧燕</cp:lastModifiedBy>
  <cp:revision>4</cp:revision>
  <dcterms:created xsi:type="dcterms:W3CDTF">2017-09-18T02:42:00Z</dcterms:created>
  <dcterms:modified xsi:type="dcterms:W3CDTF">2017-09-18T02:47:00Z</dcterms:modified>
</cp:coreProperties>
</file>